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ascii="华文中宋" w:hAnsi="华文中宋" w:eastAsia="华文中宋" w:cs="华文中宋"/>
          <w:b/>
          <w:bCs/>
          <w:kern w:val="0"/>
          <w:sz w:val="52"/>
          <w:szCs w:val="52"/>
        </w:rPr>
      </w:pPr>
    </w:p>
    <w:p>
      <w:pPr>
        <w:pStyle w:val="49"/>
        <w:spacing w:line="560" w:lineRule="exact"/>
        <w:jc w:val="center"/>
        <w:rPr>
          <w:rFonts w:hint="eastAsia" w:asciiTheme="minorEastAsia" w:hAnsiTheme="minorEastAsia" w:eastAsiaTheme="minorEastAsia" w:cstheme="minorEastAsia"/>
          <w:b/>
          <w:bCs/>
          <w:kern w:val="0"/>
          <w:sz w:val="24"/>
          <w:szCs w:val="24"/>
        </w:rPr>
      </w:pPr>
    </w:p>
    <w:p>
      <w:pPr>
        <w:pStyle w:val="49"/>
        <w:spacing w:line="560" w:lineRule="exact"/>
        <w:jc w:val="center"/>
        <w:rPr>
          <w:rFonts w:hint="eastAsia" w:asciiTheme="minorEastAsia" w:hAnsiTheme="minorEastAsia" w:eastAsiaTheme="minorEastAsia" w:cstheme="minorEastAsia"/>
          <w:b/>
          <w:bCs/>
          <w:kern w:val="0"/>
          <w:sz w:val="24"/>
          <w:szCs w:val="24"/>
          <w:lang w:val="zh-TW" w:eastAsia="zh-TW"/>
        </w:rPr>
      </w:pPr>
      <w:r>
        <w:rPr>
          <w:rFonts w:hint="eastAsia" w:asciiTheme="minorEastAsia" w:hAnsiTheme="minorEastAsia" w:eastAsiaTheme="minorEastAsia" w:cstheme="minorEastAsia"/>
          <w:b/>
          <w:bCs/>
          <w:kern w:val="0"/>
          <w:sz w:val="24"/>
          <w:szCs w:val="24"/>
          <w:lang w:val="zh-TW" w:eastAsia="zh-TW"/>
        </w:rPr>
        <w:t>新疆财政支出绩效自评报告</w:t>
      </w:r>
    </w:p>
    <w:p>
      <w:pPr>
        <w:pStyle w:val="49"/>
        <w:spacing w:line="560" w:lineRule="exact"/>
        <w:jc w:val="center"/>
        <w:rPr>
          <w:rFonts w:hint="eastAsia" w:asciiTheme="minorEastAsia" w:hAnsiTheme="minorEastAsia" w:eastAsiaTheme="minorEastAsia" w:cstheme="minorEastAsia"/>
          <w:b/>
          <w:bCs/>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lang w:val="zh-TW" w:eastAsia="zh-TW"/>
        </w:rPr>
      </w:pPr>
      <w:r>
        <w:rPr>
          <w:rFonts w:hint="eastAsia" w:asciiTheme="minorEastAsia" w:hAnsiTheme="minorEastAsia" w:eastAsiaTheme="minorEastAsia" w:cstheme="minorEastAsia"/>
          <w:kern w:val="0"/>
          <w:sz w:val="24"/>
          <w:szCs w:val="24"/>
          <w:lang w:val="zh-TW" w:eastAsia="zh-TW"/>
        </w:rPr>
        <w:t>（201</w:t>
      </w: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lang w:val="zh-TW" w:eastAsia="zh-TW"/>
        </w:rPr>
        <w:t>年度）</w:t>
      </w: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jc w:val="center"/>
        <w:rPr>
          <w:rFonts w:hint="eastAsia" w:asciiTheme="minorEastAsia" w:hAnsiTheme="minorEastAsia" w:eastAsiaTheme="minorEastAsia" w:cstheme="minorEastAsia"/>
          <w:kern w:val="0"/>
          <w:sz w:val="24"/>
          <w:szCs w:val="24"/>
        </w:rPr>
      </w:pPr>
    </w:p>
    <w:p>
      <w:pPr>
        <w:pStyle w:val="49"/>
        <w:spacing w:line="560" w:lineRule="exact"/>
        <w:rPr>
          <w:rFonts w:hint="eastAsia" w:asciiTheme="minorEastAsia" w:hAnsiTheme="minorEastAsia" w:eastAsiaTheme="minorEastAsia" w:cstheme="minorEastAsia"/>
          <w:kern w:val="0"/>
          <w:sz w:val="24"/>
          <w:szCs w:val="24"/>
        </w:rPr>
      </w:pPr>
    </w:p>
    <w:p>
      <w:pPr>
        <w:pStyle w:val="49"/>
        <w:spacing w:line="560" w:lineRule="exact"/>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zh-TW" w:eastAsia="zh-TW"/>
        </w:rPr>
        <w:t>项目名称：</w:t>
      </w:r>
      <w:r>
        <w:rPr>
          <w:rFonts w:hint="eastAsia" w:asciiTheme="minorEastAsia" w:hAnsiTheme="minorEastAsia" w:eastAsiaTheme="minorEastAsia" w:cstheme="minorEastAsia"/>
          <w:kern w:val="0"/>
          <w:sz w:val="24"/>
          <w:szCs w:val="24"/>
          <w:lang w:val="zh-TW"/>
        </w:rPr>
        <w:t>塔什库尔干县</w:t>
      </w:r>
      <w:r>
        <w:rPr>
          <w:rFonts w:hint="eastAsia" w:asciiTheme="minorEastAsia" w:hAnsiTheme="minorEastAsia" w:eastAsiaTheme="minorEastAsia" w:cstheme="minorEastAsia"/>
          <w:kern w:val="0"/>
          <w:sz w:val="24"/>
          <w:szCs w:val="24"/>
        </w:rPr>
        <w:t>2018年退牧还草工程</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建设项目</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实施单位（公章）：</w:t>
      </w:r>
      <w:r>
        <w:rPr>
          <w:rFonts w:hint="eastAsia" w:asciiTheme="minorEastAsia" w:hAnsiTheme="minorEastAsia" w:eastAsiaTheme="minorEastAsia" w:cstheme="minorEastAsia"/>
          <w:kern w:val="0"/>
          <w:sz w:val="24"/>
          <w:szCs w:val="24"/>
          <w:lang w:val="zh-TW"/>
        </w:rPr>
        <w:t>塔什库尔干县畜牧兽医局</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主管部门（公章）：</w:t>
      </w:r>
      <w:r>
        <w:rPr>
          <w:rFonts w:hint="eastAsia" w:asciiTheme="minorEastAsia" w:hAnsiTheme="minorEastAsia" w:eastAsiaTheme="minorEastAsia" w:cstheme="minorEastAsia"/>
          <w:kern w:val="0"/>
          <w:sz w:val="24"/>
          <w:szCs w:val="24"/>
          <w:lang w:val="zh-TW"/>
        </w:rPr>
        <w:t>塔什库尔干县发改委</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项目负责人（签章）：</w:t>
      </w:r>
      <w:r>
        <w:rPr>
          <w:rFonts w:hint="eastAsia" w:asciiTheme="minorEastAsia" w:hAnsiTheme="minorEastAsia" w:eastAsiaTheme="minorEastAsia" w:cstheme="minorEastAsia"/>
          <w:kern w:val="0"/>
          <w:sz w:val="24"/>
          <w:szCs w:val="24"/>
          <w:lang w:val="zh-TW"/>
        </w:rPr>
        <w:t>张剑</w:t>
      </w:r>
    </w:p>
    <w:p>
      <w:pPr>
        <w:pStyle w:val="49"/>
        <w:spacing w:line="560" w:lineRule="exact"/>
        <w:ind w:firstLine="480" w:firstLineChars="200"/>
        <w:jc w:val="left"/>
        <w:rPr>
          <w:rFonts w:hint="eastAsia" w:asciiTheme="minorEastAsia" w:hAnsiTheme="minorEastAsia" w:eastAsiaTheme="minorEastAsia" w:cstheme="minorEastAsia"/>
          <w:kern w:val="0"/>
          <w:sz w:val="24"/>
          <w:szCs w:val="24"/>
          <w:lang w:val="zh-TW"/>
        </w:rPr>
      </w:pPr>
      <w:r>
        <w:rPr>
          <w:rFonts w:hint="eastAsia" w:asciiTheme="minorEastAsia" w:hAnsiTheme="minorEastAsia" w:eastAsiaTheme="minorEastAsia" w:cstheme="minorEastAsia"/>
          <w:kern w:val="0"/>
          <w:sz w:val="24"/>
          <w:szCs w:val="24"/>
          <w:lang w:val="zh-TW" w:eastAsia="zh-TW"/>
        </w:rPr>
        <w:t>填报时间：201</w:t>
      </w:r>
      <w:r>
        <w:rPr>
          <w:rFonts w:hint="eastAsia" w:asciiTheme="minorEastAsia" w:hAnsiTheme="minorEastAsia" w:eastAsiaTheme="minorEastAsia" w:cstheme="minorEastAsia"/>
          <w:kern w:val="0"/>
          <w:sz w:val="24"/>
          <w:szCs w:val="24"/>
          <w:lang w:val="zh-TW"/>
        </w:rPr>
        <w:t>8</w:t>
      </w:r>
      <w:r>
        <w:rPr>
          <w:rFonts w:hint="eastAsia" w:asciiTheme="minorEastAsia" w:hAnsiTheme="minorEastAsia" w:eastAsiaTheme="minorEastAsia" w:cstheme="minorEastAsia"/>
          <w:kern w:val="0"/>
          <w:sz w:val="24"/>
          <w:szCs w:val="24"/>
          <w:lang w:val="zh-TW" w:eastAsia="zh-TW"/>
        </w:rPr>
        <w:t>年</w:t>
      </w: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lang w:val="zh-TW" w:eastAsia="zh-TW"/>
        </w:rPr>
        <w:t>月</w:t>
      </w: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lang w:val="zh-TW" w:eastAsia="zh-TW"/>
        </w:rPr>
        <w:t>日</w:t>
      </w:r>
    </w:p>
    <w:p>
      <w:pPr>
        <w:pStyle w:val="49"/>
        <w:spacing w:line="560" w:lineRule="exact"/>
        <w:ind w:firstLine="464" w:firstLineChars="200"/>
        <w:jc w:val="left"/>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一、项目概况</w:t>
      </w:r>
    </w:p>
    <w:p>
      <w:pPr>
        <w:adjustRightInd w:val="0"/>
        <w:snapToGrid w:val="0"/>
        <w:spacing w:line="560" w:lineRule="exact"/>
        <w:ind w:firstLine="466" w:firstLineChars="20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（一）项目单位基本情况</w:t>
      </w:r>
    </w:p>
    <w:p>
      <w:pPr>
        <w:spacing w:line="560" w:lineRule="exact"/>
        <w:ind w:firstLine="480" w:firstLineChars="200"/>
        <w:rPr>
          <w:rStyle w:val="19"/>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近几年经过各级部门的不断配合完善，目前我单位下辖县动物卫生监督所、兽医站、草原站、草原监理所，各乡镇下设有乡镇兽医站，基本达到了“有阵地、有人员、有技术、有设备、有手段”的“五有”标准。</w:t>
      </w:r>
    </w:p>
    <w:p>
      <w:pPr>
        <w:adjustRightInd w:val="0"/>
        <w:snapToGrid w:val="0"/>
        <w:spacing w:line="560" w:lineRule="exact"/>
        <w:ind w:firstLine="466" w:firstLineChars="20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（二）项目预算绩效目标设定情况</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1、项目预期目标及阶段性目标</w:t>
      </w:r>
    </w:p>
    <w:p>
      <w:pPr>
        <w:spacing w:line="5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加强草原生态保护，实施退牧还草建设工程，加强退化草原补播改良，清除草原毒害草治理，保障农牧民牲畜安全；补齐农牧民发展畜牧业生产资料不足短板。</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2、项目基本性质</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本项目性质为新建。</w:t>
      </w:r>
    </w:p>
    <w:p>
      <w:pPr>
        <w:adjustRightInd w:val="0"/>
        <w:snapToGrid w:val="0"/>
        <w:spacing w:line="560" w:lineRule="exact"/>
        <w:ind w:firstLine="466" w:firstLineChars="200"/>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3、项目用途及范围</w:t>
      </w:r>
    </w:p>
    <w:p>
      <w:pPr>
        <w:adjustRightInd w:val="0"/>
        <w:snapToGrid w:val="0"/>
        <w:spacing w:line="560" w:lineRule="exact"/>
        <w:ind w:firstLine="464" w:firstLineChars="200"/>
        <w:outlineLvl w:val="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草原生态保护建设、农牧民牲畜养殖棚圈建设</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二、项目资金使用及管理情况</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（一）项目资金安排落实、总投入等情况分析</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项目建设预算资金2566万元，全部为中央预算内投资，其中退还草原补播改良1800万元，毒害草治理266万元，舍饲棚圈建设补助450万元。</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（二）项目资金实际使用情况分析</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本项目实际支付资金2566万元，预算执行率100%项目资金主要用于支付还草原补播改良1800万元，毒害草治理266万元，舍饲棚圈建设补助450万元。</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（三）项目资金管理情况分析</w:t>
      </w:r>
    </w:p>
    <w:p>
      <w:pPr>
        <w:adjustRightInd w:val="0"/>
        <w:snapToGrid w:val="0"/>
        <w:spacing w:line="560" w:lineRule="exact"/>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建设按照资金使用用途，严格落实项目资金管理办法；项目建设资金使用符合国家财经法规和财务管理制度以及有关资金管理办法的规定；资金拨付严格落实自治县财经纪律要求，具有完整的审批程序和手续；不存在截留、挤占、挪用、虚列支出等情况。</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此项目建设不存在变更</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三、项目组织实施情况</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（一）项目组织情况分析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项目建设严格落实投标办法，由专业招标代理机构进行招标代理，目前已完工验收。</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本项目不存在调整情况。</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为保证项目质量和成本控制，项目实施完成后，由本项目相关人员对项目建设内容进行检查验收，检查验收合格后按合同规定支付款项。</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spacing w:val="-4"/>
          <w:sz w:val="24"/>
          <w:szCs w:val="24"/>
        </w:rPr>
      </w:pPr>
      <w:r>
        <w:rPr>
          <w:rStyle w:val="19"/>
          <w:rFonts w:hint="eastAsia" w:asciiTheme="minorEastAsia" w:hAnsiTheme="minorEastAsia" w:eastAsiaTheme="minorEastAsia" w:cstheme="minorEastAsia"/>
          <w:spacing w:val="-4"/>
          <w:sz w:val="24"/>
          <w:szCs w:val="24"/>
        </w:rPr>
        <w:t>（二）项目管理情况分析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实施过程中，严格落实扶贫资金使用管理办法，保障项目的顺利实施。项目的实施遵守相关法律法规和业务管理规定，项目资料齐全并及时归档。项目建设过程中采取定期与不定期对项目进度情况进行督导检查，对检查过程中对发现的问题及时督促整改，确保了项目按时保质完成。</w:t>
      </w:r>
    </w:p>
    <w:p>
      <w:pPr>
        <w:adjustRightInd w:val="0"/>
        <w:snapToGrid w:val="0"/>
        <w:spacing w:line="560" w:lineRule="exact"/>
        <w:ind w:firstLine="466" w:firstLineChars="200"/>
        <w:outlineLvl w:val="0"/>
        <w:rPr>
          <w:rStyle w:val="19"/>
          <w:rFonts w:hint="eastAsia" w:asciiTheme="minorEastAsia" w:hAnsiTheme="minorEastAsia" w:eastAsiaTheme="minorEastAsia" w:cstheme="minorEastAsia"/>
          <w:bCs w:val="0"/>
          <w:spacing w:val="-4"/>
          <w:sz w:val="24"/>
          <w:szCs w:val="24"/>
        </w:rPr>
      </w:pPr>
      <w:r>
        <w:rPr>
          <w:rFonts w:hint="eastAsia" w:asciiTheme="minorEastAsia" w:hAnsiTheme="minorEastAsia" w:eastAsiaTheme="minorEastAsia" w:cstheme="minorEastAsia"/>
          <w:b/>
          <w:spacing w:val="-4"/>
          <w:sz w:val="24"/>
          <w:szCs w:val="24"/>
        </w:rPr>
        <w:t>（一）项目绩效目标完成情况分析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本项目共设置一级指标3个，二级指标9个，三级指标13个，其中已完成三级指标13个，指标完成率为100%。</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（二）项目绩效目标未完成原因分析</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2018年本项目绩效目标全部达成，不存在未完成原因分析。</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五、其他需要说明的问题</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（一）后续工作计划</w:t>
      </w:r>
    </w:p>
    <w:p>
      <w:pPr>
        <w:adjustRightInd w:val="0"/>
        <w:snapToGrid w:val="0"/>
        <w:spacing w:line="560" w:lineRule="exact"/>
        <w:ind w:firstLine="480" w:firstLineChars="20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引导农牧民做好草原生态保护。</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（二）主要经验及做法、存在问题和建议</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1、主要经验及做法</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注重资金管理使用，严格落实资金管理办法</w:t>
      </w:r>
    </w:p>
    <w:p>
      <w:pPr>
        <w:numPr>
          <w:ilvl w:val="0"/>
          <w:numId w:val="1"/>
        </w:num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存在的问题</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无</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3、建议</w:t>
      </w:r>
    </w:p>
    <w:p>
      <w:pPr>
        <w:adjustRightInd w:val="0"/>
        <w:snapToGrid w:val="0"/>
        <w:spacing w:line="560" w:lineRule="exact"/>
        <w:ind w:firstLine="466" w:firstLineChars="200"/>
        <w:outlineLvl w:val="0"/>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（三）其他</w:t>
      </w:r>
    </w:p>
    <w:p>
      <w:pPr>
        <w:adjustRightInd w:val="0"/>
        <w:snapToGrid w:val="0"/>
        <w:spacing w:line="560" w:lineRule="exact"/>
        <w:ind w:firstLine="464" w:firstLineChars="200"/>
        <w:outlineLvl w:val="0"/>
        <w:rPr>
          <w:rFonts w:hint="eastAsia" w:asciiTheme="minorEastAsia" w:hAnsiTheme="minorEastAsia" w:eastAsiaTheme="minorEastAsia" w:cstheme="minorEastAsia"/>
          <w:bCs/>
          <w:spacing w:val="-4"/>
          <w:sz w:val="24"/>
          <w:szCs w:val="24"/>
        </w:rPr>
      </w:pPr>
      <w:r>
        <w:rPr>
          <w:rStyle w:val="19"/>
          <w:rFonts w:hint="eastAsia" w:asciiTheme="minorEastAsia" w:hAnsiTheme="minorEastAsia" w:eastAsiaTheme="minorEastAsia" w:cstheme="minorEastAsia"/>
          <w:b w:val="0"/>
          <w:spacing w:val="-4"/>
          <w:sz w:val="24"/>
          <w:szCs w:val="24"/>
        </w:rPr>
        <w:t>六、项目评价工作情况</w:t>
      </w:r>
    </w:p>
    <w:p>
      <w:pPr>
        <w:adjustRightInd w:val="0"/>
        <w:snapToGrid w:val="0"/>
        <w:spacing w:line="560" w:lineRule="exact"/>
        <w:ind w:firstLine="464" w:firstLineChars="200"/>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本次评价通过文件研读、实地调研、数据分析等方式，全面了解塔什库尔干县2018年退牧还草工程建设项目资金的使用效率和效果，项目管理过程规范，按期完成预期绩效目标等。同时，通过开展自我评价来总结经验和教训，为今后的开展提供参考建议。</w:t>
      </w:r>
    </w:p>
    <w:p>
      <w:pPr>
        <w:adjustRightInd w:val="0"/>
        <w:snapToGrid w:val="0"/>
        <w:spacing w:line="560" w:lineRule="exact"/>
        <w:ind w:firstLine="464" w:firstLineChars="200"/>
        <w:outlineLvl w:val="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七、附表</w:t>
      </w:r>
    </w:p>
    <w:p>
      <w:pPr>
        <w:adjustRightInd w:val="0"/>
        <w:snapToGrid w:val="0"/>
        <w:spacing w:line="560" w:lineRule="exact"/>
        <w:ind w:firstLine="464" w:firstLineChars="200"/>
        <w:rPr>
          <w:rStyle w:val="19"/>
          <w:rFonts w:hint="eastAsia" w:asciiTheme="minorEastAsia" w:hAnsiTheme="minorEastAsia" w:eastAsiaTheme="minorEastAsia" w:cstheme="minorEastAsia"/>
          <w:b w:val="0"/>
          <w:spacing w:val="-4"/>
          <w:sz w:val="24"/>
          <w:szCs w:val="24"/>
        </w:rPr>
      </w:pPr>
      <w:r>
        <w:rPr>
          <w:rStyle w:val="19"/>
          <w:rFonts w:hint="eastAsia" w:asciiTheme="minorEastAsia" w:hAnsiTheme="minorEastAsia" w:eastAsiaTheme="minorEastAsia" w:cstheme="minorEastAsia"/>
          <w:b w:val="0"/>
          <w:spacing w:val="-4"/>
          <w:sz w:val="24"/>
          <w:szCs w:val="24"/>
        </w:rPr>
        <w:t>《项目支出绩效目标自评表》</w:t>
      </w:r>
    </w:p>
    <w:p>
      <w:pPr>
        <w:adjustRightInd w:val="0"/>
        <w:snapToGrid w:val="0"/>
        <w:spacing w:line="560" w:lineRule="exact"/>
        <w:ind w:firstLine="466" w:firstLineChars="200"/>
        <w:rPr>
          <w:rStyle w:val="19"/>
          <w:rFonts w:hint="eastAsia" w:asciiTheme="minorEastAsia" w:hAnsiTheme="minorEastAsia" w:eastAsiaTheme="minorEastAsia" w:cstheme="minorEastAsia"/>
          <w:color w:val="FF0000"/>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塔什库尔干县畜牧兽医局</w:t>
      </w: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r>
        <w:rPr>
          <w:rFonts w:hint="eastAsia" w:asciiTheme="minorEastAsia" w:hAnsiTheme="minorEastAsia" w:eastAsiaTheme="minorEastAsia" w:cstheme="minorEastAsia"/>
          <w:bCs/>
          <w:spacing w:val="-4"/>
          <w:sz w:val="24"/>
          <w:szCs w:val="24"/>
        </w:rPr>
        <w:t>2018年12月15日</w:t>
      </w: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ind w:firstLine="464" w:firstLineChars="200"/>
        <w:jc w:val="center"/>
        <w:rPr>
          <w:rFonts w:hint="eastAsia" w:asciiTheme="minorEastAsia" w:hAnsiTheme="minorEastAsia" w:eastAsiaTheme="minorEastAsia" w:cstheme="minorEastAsia"/>
          <w:bCs/>
          <w:spacing w:val="-4"/>
          <w:sz w:val="24"/>
          <w:szCs w:val="24"/>
        </w:rPr>
      </w:pPr>
    </w:p>
    <w:p>
      <w:pPr>
        <w:adjustRightInd w:val="0"/>
        <w:snapToGrid w:val="0"/>
        <w:spacing w:line="560" w:lineRule="exact"/>
        <w:jc w:val="both"/>
        <w:rPr>
          <w:rFonts w:hint="eastAsia" w:asciiTheme="minorEastAsia" w:hAnsiTheme="minorEastAsia" w:eastAsiaTheme="minorEastAsia" w:cstheme="minorEastAsia"/>
          <w:bCs/>
          <w:spacing w:val="-4"/>
          <w:sz w:val="24"/>
          <w:szCs w:val="24"/>
        </w:rPr>
      </w:pPr>
      <w:bookmarkStart w:id="0" w:name="_GoBack"/>
      <w:bookmarkEnd w:id="0"/>
    </w:p>
    <w:p>
      <w:pPr>
        <w:adjustRightInd w:val="0"/>
        <w:snapToGrid w:val="0"/>
        <w:spacing w:line="560" w:lineRule="exact"/>
        <w:ind w:firstLine="624" w:firstLineChars="200"/>
        <w:jc w:val="center"/>
        <w:rPr>
          <w:rFonts w:ascii="仿宋" w:hAnsi="仿宋" w:eastAsia="仿宋"/>
          <w:bCs/>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DE41FA"/>
    <w:multiLevelType w:val="singleLevel"/>
    <w:tmpl w:val="A3DE41F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A684A"/>
    <w:rsid w:val="000F6344"/>
    <w:rsid w:val="0012208E"/>
    <w:rsid w:val="00135256"/>
    <w:rsid w:val="00136B74"/>
    <w:rsid w:val="001A4E1F"/>
    <w:rsid w:val="001A57B9"/>
    <w:rsid w:val="001C3847"/>
    <w:rsid w:val="001F3031"/>
    <w:rsid w:val="00210A26"/>
    <w:rsid w:val="002A2532"/>
    <w:rsid w:val="002A2D76"/>
    <w:rsid w:val="00365250"/>
    <w:rsid w:val="0036624C"/>
    <w:rsid w:val="00384DD5"/>
    <w:rsid w:val="00385849"/>
    <w:rsid w:val="003F1A98"/>
    <w:rsid w:val="00424913"/>
    <w:rsid w:val="0050167F"/>
    <w:rsid w:val="00514506"/>
    <w:rsid w:val="005162F1"/>
    <w:rsid w:val="00516E80"/>
    <w:rsid w:val="00535153"/>
    <w:rsid w:val="005744ED"/>
    <w:rsid w:val="00575CFE"/>
    <w:rsid w:val="00583AFC"/>
    <w:rsid w:val="00592D09"/>
    <w:rsid w:val="00675D58"/>
    <w:rsid w:val="006F2E6D"/>
    <w:rsid w:val="006F4A8C"/>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C6918"/>
    <w:rsid w:val="00EF3FFA"/>
    <w:rsid w:val="00F32FEE"/>
    <w:rsid w:val="00F53E69"/>
    <w:rsid w:val="00FB0289"/>
    <w:rsid w:val="09EA2A89"/>
    <w:rsid w:val="122576A5"/>
    <w:rsid w:val="397F4FE8"/>
    <w:rsid w:val="527A4675"/>
    <w:rsid w:val="64B8290E"/>
    <w:rsid w:val="6C69205B"/>
    <w:rsid w:val="71962C46"/>
    <w:rsid w:val="74CF3ECB"/>
    <w:rsid w:val="7D7514F4"/>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Date"/>
    <w:basedOn w:val="1"/>
    <w:next w:val="1"/>
    <w:link w:val="50"/>
    <w:unhideWhenUsed/>
    <w:uiPriority w:val="99"/>
    <w:pPr>
      <w:ind w:left="100" w:leftChars="2500"/>
    </w:p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6"/>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8"/>
    <w:link w:val="15"/>
    <w:qFormat/>
    <w:uiPriority w:val="99"/>
    <w:rPr>
      <w:rFonts w:ascii="Calibri" w:hAnsi="Calibri" w:eastAsia="宋体"/>
      <w:kern w:val="2"/>
      <w:sz w:val="18"/>
      <w:szCs w:val="18"/>
    </w:rPr>
  </w:style>
  <w:style w:type="character" w:customStyle="1" w:styleId="46">
    <w:name w:val="页脚 Char"/>
    <w:basedOn w:val="18"/>
    <w:link w:val="14"/>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日期 Char"/>
    <w:basedOn w:val="18"/>
    <w:link w:val="12"/>
    <w:semiHidden/>
    <w:uiPriority w:val="99"/>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Template>
  <Pages>5</Pages>
  <Words>339</Words>
  <Characters>1934</Characters>
  <Lines>16</Lines>
  <Paragraphs>4</Paragraphs>
  <TotalTime>0</TotalTime>
  <ScaleCrop>false</ScaleCrop>
  <LinksUpToDate>false</LinksUpToDate>
  <CharactersWithSpaces>2269</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2019-09-19T11:51:54Z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